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Lines="0" w:line="320" w:lineRule="exact"/>
        <w:jc w:val="both"/>
        <w:textAlignment w:val="auto"/>
        <w:rPr>
          <w:rFonts w:ascii="LinTimes" w:hAnsi="LinTimes" w:eastAsia="楷体" w:cs="LinTimes"/>
          <w:sz w:val="24"/>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line="320" w:lineRule="exact"/>
        <w:jc w:val="both"/>
        <w:textAlignment w:val="auto"/>
        <w:rPr>
          <w:rFonts w:ascii="LinTimes" w:hAnsi="LinTimes" w:eastAsia="黑体" w:cs="LinTimes"/>
          <w:bCs/>
          <w:sz w:val="32"/>
          <w:szCs w:val="32"/>
          <w:highlight w:val="none"/>
        </w:rPr>
      </w:pPr>
      <w:r>
        <w:rPr>
          <w:rFonts w:hint="default" w:ascii="LinTimes" w:hAnsi="LinTimes" w:eastAsia="黑体" w:cs="LinTimes"/>
          <w:bCs/>
          <w:sz w:val="32"/>
          <w:szCs w:val="32"/>
          <w:highlight w:val="none"/>
        </w:rPr>
        <w:t>附表2</w:t>
      </w:r>
    </w:p>
    <w:p>
      <w:pPr>
        <w:jc w:val="center"/>
        <w:rPr>
          <w:rFonts w:ascii="LinTimes" w:hAnsi="LinTimes" w:cs="LinTimes"/>
          <w:b/>
          <w:sz w:val="36"/>
          <w:szCs w:val="36"/>
          <w:highlight w:val="none"/>
        </w:rPr>
      </w:pPr>
      <w:r>
        <w:rPr>
          <w:rFonts w:ascii="LinTimes" w:hAnsi="LinTimes" w:cs="LinTimes"/>
          <w:b/>
          <w:sz w:val="36"/>
          <w:szCs w:val="36"/>
          <w:highlight w:val="none"/>
        </w:rPr>
        <w:t>临床</w:t>
      </w:r>
      <w:r>
        <w:rPr>
          <w:rFonts w:hint="eastAsia" w:ascii="LinTimes" w:hAnsi="LinTimes" w:cs="LinTimes"/>
          <w:b/>
          <w:sz w:val="36"/>
          <w:szCs w:val="36"/>
          <w:highlight w:val="none"/>
          <w:lang w:eastAsia="zh-CN"/>
        </w:rPr>
        <w:t>、</w:t>
      </w:r>
      <w:r>
        <w:rPr>
          <w:rFonts w:ascii="LinTimes" w:hAnsi="LinTimes" w:cs="LinTimes"/>
          <w:b/>
          <w:sz w:val="36"/>
          <w:szCs w:val="36"/>
          <w:highlight w:val="none"/>
        </w:rPr>
        <w:t>中医</w:t>
      </w:r>
      <w:r>
        <w:rPr>
          <w:rFonts w:hint="eastAsia" w:ascii="LinTimes" w:hAnsi="LinTimes" w:cs="LinTimes"/>
          <w:b/>
          <w:sz w:val="36"/>
          <w:szCs w:val="36"/>
          <w:highlight w:val="none"/>
          <w:lang w:eastAsia="zh-CN"/>
        </w:rPr>
        <w:t>、口腔</w:t>
      </w:r>
      <w:r>
        <w:rPr>
          <w:rFonts w:ascii="LinTimes" w:hAnsi="LinTimes" w:cs="LinTimes"/>
          <w:b/>
          <w:sz w:val="36"/>
          <w:szCs w:val="36"/>
          <w:highlight w:val="none"/>
        </w:rPr>
        <w:t>专业高级职称评价指标</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2385"/>
        <w:gridCol w:w="4950"/>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1417" w:type="dxa"/>
            <w:noWrap w:val="0"/>
            <w:vAlign w:val="center"/>
          </w:tcPr>
          <w:p>
            <w:pPr>
              <w:widowControl/>
              <w:jc w:val="center"/>
              <w:rPr>
                <w:rFonts w:ascii="LinTimes" w:hAnsi="LinTimes" w:eastAsia="黑体" w:cs="LinTimes"/>
                <w:kern w:val="0"/>
                <w:sz w:val="28"/>
                <w:szCs w:val="28"/>
                <w:highlight w:val="none"/>
              </w:rPr>
            </w:pPr>
            <w:r>
              <w:rPr>
                <w:rFonts w:ascii="LinTimes" w:hAnsi="LinTimes" w:eastAsia="黑体" w:cs="LinTimes"/>
                <w:kern w:val="0"/>
                <w:sz w:val="28"/>
                <w:szCs w:val="28"/>
                <w:highlight w:val="none"/>
              </w:rPr>
              <w:t>评价维度</w:t>
            </w:r>
          </w:p>
        </w:tc>
        <w:tc>
          <w:tcPr>
            <w:tcW w:w="1417" w:type="dxa"/>
            <w:noWrap w:val="0"/>
            <w:vAlign w:val="center"/>
          </w:tcPr>
          <w:p>
            <w:pPr>
              <w:widowControl/>
              <w:jc w:val="center"/>
              <w:rPr>
                <w:rFonts w:ascii="LinTimes" w:hAnsi="LinTimes" w:eastAsia="黑体" w:cs="LinTimes"/>
                <w:kern w:val="0"/>
                <w:sz w:val="28"/>
                <w:szCs w:val="28"/>
                <w:highlight w:val="none"/>
              </w:rPr>
            </w:pPr>
            <w:r>
              <w:rPr>
                <w:rFonts w:ascii="LinTimes" w:hAnsi="LinTimes" w:eastAsia="黑体" w:cs="LinTimes"/>
                <w:kern w:val="0"/>
                <w:sz w:val="28"/>
                <w:szCs w:val="28"/>
                <w:highlight w:val="none"/>
              </w:rPr>
              <w:t>二级指标</w:t>
            </w:r>
          </w:p>
        </w:tc>
        <w:tc>
          <w:tcPr>
            <w:tcW w:w="2385" w:type="dxa"/>
            <w:noWrap w:val="0"/>
            <w:vAlign w:val="center"/>
          </w:tcPr>
          <w:p>
            <w:pPr>
              <w:widowControl/>
              <w:jc w:val="center"/>
              <w:rPr>
                <w:rFonts w:ascii="LinTimes" w:hAnsi="LinTimes" w:eastAsia="黑体" w:cs="LinTimes"/>
                <w:kern w:val="0"/>
                <w:sz w:val="28"/>
                <w:szCs w:val="28"/>
                <w:highlight w:val="none"/>
              </w:rPr>
            </w:pPr>
            <w:r>
              <w:rPr>
                <w:rFonts w:ascii="LinTimes" w:hAnsi="LinTimes" w:eastAsia="黑体" w:cs="LinTimes"/>
                <w:kern w:val="0"/>
                <w:sz w:val="28"/>
                <w:szCs w:val="28"/>
                <w:highlight w:val="none"/>
              </w:rPr>
              <w:t>三级指标</w:t>
            </w:r>
          </w:p>
        </w:tc>
        <w:tc>
          <w:tcPr>
            <w:tcW w:w="4950" w:type="dxa"/>
            <w:noWrap w:val="0"/>
            <w:vAlign w:val="center"/>
          </w:tcPr>
          <w:p>
            <w:pPr>
              <w:widowControl/>
              <w:jc w:val="center"/>
              <w:rPr>
                <w:rFonts w:ascii="LinTimes" w:hAnsi="LinTimes" w:eastAsia="黑体" w:cs="LinTimes"/>
                <w:kern w:val="0"/>
                <w:sz w:val="28"/>
                <w:szCs w:val="28"/>
                <w:highlight w:val="none"/>
              </w:rPr>
            </w:pPr>
            <w:r>
              <w:rPr>
                <w:rFonts w:ascii="LinTimes" w:hAnsi="LinTimes" w:eastAsia="黑体" w:cs="LinTimes"/>
                <w:kern w:val="0"/>
                <w:sz w:val="28"/>
                <w:szCs w:val="28"/>
                <w:highlight w:val="none"/>
              </w:rPr>
              <w:t>指标定义</w:t>
            </w:r>
          </w:p>
        </w:tc>
        <w:tc>
          <w:tcPr>
            <w:tcW w:w="4905" w:type="dxa"/>
            <w:noWrap w:val="0"/>
            <w:vAlign w:val="center"/>
          </w:tcPr>
          <w:p>
            <w:pPr>
              <w:widowControl/>
              <w:jc w:val="center"/>
              <w:rPr>
                <w:rFonts w:ascii="LinTimes" w:hAnsi="LinTimes" w:eastAsia="黑体" w:cs="LinTimes"/>
                <w:kern w:val="0"/>
                <w:sz w:val="28"/>
                <w:szCs w:val="28"/>
                <w:highlight w:val="none"/>
              </w:rPr>
            </w:pPr>
            <w:r>
              <w:rPr>
                <w:rFonts w:ascii="LinTimes" w:hAnsi="LinTimes" w:eastAsia="黑体" w:cs="LinTimes"/>
                <w:kern w:val="0"/>
                <w:sz w:val="28"/>
                <w:szCs w:val="28"/>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417" w:type="dxa"/>
            <w:vMerge w:val="restart"/>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技术</w:t>
            </w:r>
          </w:p>
          <w:p>
            <w:pPr>
              <w:widowControl/>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能力</w:t>
            </w:r>
          </w:p>
        </w:tc>
        <w:tc>
          <w:tcPr>
            <w:tcW w:w="1417" w:type="dxa"/>
            <w:vMerge w:val="restart"/>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出院患者病种范围和例数</w:t>
            </w:r>
          </w:p>
        </w:tc>
        <w:tc>
          <w:tcPr>
            <w:tcW w:w="2385"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基本病种覆盖率</w:t>
            </w:r>
          </w:p>
        </w:tc>
        <w:tc>
          <w:tcPr>
            <w:tcW w:w="4950"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考核期内医师诊治的本专业出院患者中覆盖的基本病种数占本专业所有基本病种数的比例。</w:t>
            </w:r>
          </w:p>
        </w:tc>
        <w:tc>
          <w:tcPr>
            <w:tcW w:w="4905"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考核期内医师诊治的本专业出院患者覆盖基本病种数/本专业基本病种总数×100%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417" w:type="dxa"/>
            <w:vMerge w:val="continue"/>
            <w:noWrap w:val="0"/>
            <w:vAlign w:val="center"/>
          </w:tcPr>
          <w:p>
            <w:pPr>
              <w:widowControl/>
              <w:jc w:val="left"/>
              <w:rPr>
                <w:rFonts w:ascii="LinTimes" w:hAnsi="LinTimes" w:eastAsia="仿宋_GB2312" w:cs="LinTimes"/>
                <w:bCs/>
                <w:kern w:val="0"/>
                <w:sz w:val="28"/>
                <w:szCs w:val="28"/>
                <w:highlight w:val="none"/>
              </w:rPr>
            </w:pPr>
          </w:p>
        </w:tc>
        <w:tc>
          <w:tcPr>
            <w:tcW w:w="1417" w:type="dxa"/>
            <w:vMerge w:val="continue"/>
            <w:noWrap w:val="0"/>
            <w:vAlign w:val="center"/>
          </w:tcPr>
          <w:p>
            <w:pPr>
              <w:widowControl/>
              <w:jc w:val="left"/>
              <w:rPr>
                <w:rFonts w:ascii="LinTimes" w:hAnsi="LinTimes" w:eastAsia="仿宋_GB2312" w:cs="LinTimes"/>
                <w:bCs/>
                <w:kern w:val="0"/>
                <w:sz w:val="28"/>
                <w:szCs w:val="28"/>
                <w:highlight w:val="none"/>
              </w:rPr>
            </w:pPr>
          </w:p>
        </w:tc>
        <w:tc>
          <w:tcPr>
            <w:tcW w:w="2385" w:type="dxa"/>
            <w:noWrap w:val="0"/>
            <w:vAlign w:val="center"/>
          </w:tcPr>
          <w:p>
            <w:pPr>
              <w:widowControl/>
              <w:jc w:val="center"/>
              <w:rPr>
                <w:rFonts w:ascii="LinTimes" w:hAnsi="LinTimes" w:eastAsia="仿宋_GB2312" w:cs="LinTimes"/>
                <w:bCs/>
                <w:spacing w:val="-6"/>
                <w:kern w:val="0"/>
                <w:sz w:val="28"/>
                <w:szCs w:val="28"/>
                <w:highlight w:val="none"/>
              </w:rPr>
            </w:pPr>
            <w:r>
              <w:rPr>
                <w:rFonts w:ascii="LinTimes" w:hAnsi="LinTimes" w:eastAsia="仿宋_GB2312" w:cs="LinTimes"/>
                <w:bCs/>
                <w:spacing w:val="-6"/>
                <w:kern w:val="0"/>
                <w:sz w:val="28"/>
                <w:szCs w:val="28"/>
                <w:highlight w:val="none"/>
              </w:rPr>
              <w:t>基本病种诊疗人数</w:t>
            </w:r>
          </w:p>
        </w:tc>
        <w:tc>
          <w:tcPr>
            <w:tcW w:w="4950"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考核期内医师诊治的本专业基本病种出院人数。</w:t>
            </w:r>
          </w:p>
        </w:tc>
        <w:tc>
          <w:tcPr>
            <w:tcW w:w="4905"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考核期内医师诊治的符合本专业基本病种纳入条件的出院人数之和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1417" w:type="dxa"/>
            <w:vMerge w:val="continue"/>
            <w:noWrap w:val="0"/>
            <w:vAlign w:val="center"/>
          </w:tcPr>
          <w:p>
            <w:pPr>
              <w:widowControl/>
              <w:jc w:val="left"/>
              <w:rPr>
                <w:rFonts w:ascii="LinTimes" w:hAnsi="LinTimes" w:eastAsia="仿宋_GB2312" w:cs="LinTimes"/>
                <w:bCs/>
                <w:kern w:val="0"/>
                <w:sz w:val="28"/>
                <w:szCs w:val="28"/>
                <w:highlight w:val="none"/>
              </w:rPr>
            </w:pPr>
          </w:p>
        </w:tc>
        <w:tc>
          <w:tcPr>
            <w:tcW w:w="1417" w:type="dxa"/>
            <w:vMerge w:val="continue"/>
            <w:noWrap w:val="0"/>
            <w:vAlign w:val="center"/>
          </w:tcPr>
          <w:p>
            <w:pPr>
              <w:widowControl/>
              <w:jc w:val="left"/>
              <w:rPr>
                <w:rFonts w:ascii="LinTimes" w:hAnsi="LinTimes" w:eastAsia="仿宋_GB2312" w:cs="LinTimes"/>
                <w:bCs/>
                <w:kern w:val="0"/>
                <w:sz w:val="28"/>
                <w:szCs w:val="28"/>
                <w:highlight w:val="none"/>
              </w:rPr>
            </w:pPr>
          </w:p>
        </w:tc>
        <w:tc>
          <w:tcPr>
            <w:tcW w:w="2385"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疑难病种覆盖率</w:t>
            </w:r>
          </w:p>
        </w:tc>
        <w:tc>
          <w:tcPr>
            <w:tcW w:w="4950"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考核期内医师诊治的本专业出院患者中覆盖的疑难病种数占本专业所有疑难病种数的比例。</w:t>
            </w:r>
          </w:p>
        </w:tc>
        <w:tc>
          <w:tcPr>
            <w:tcW w:w="4905"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考核期内医师诊治的本专业出院患者覆盖疑难病种数/本专业疑难病种总数×100%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1417" w:type="dxa"/>
            <w:vMerge w:val="continue"/>
            <w:noWrap w:val="0"/>
            <w:vAlign w:val="center"/>
          </w:tcPr>
          <w:p>
            <w:pPr>
              <w:widowControl/>
              <w:jc w:val="left"/>
              <w:rPr>
                <w:rFonts w:ascii="LinTimes" w:hAnsi="LinTimes" w:eastAsia="仿宋_GB2312" w:cs="LinTimes"/>
                <w:bCs/>
                <w:kern w:val="0"/>
                <w:sz w:val="28"/>
                <w:szCs w:val="28"/>
                <w:highlight w:val="none"/>
              </w:rPr>
            </w:pPr>
          </w:p>
        </w:tc>
        <w:tc>
          <w:tcPr>
            <w:tcW w:w="1417" w:type="dxa"/>
            <w:vMerge w:val="continue"/>
            <w:noWrap w:val="0"/>
            <w:vAlign w:val="center"/>
          </w:tcPr>
          <w:p>
            <w:pPr>
              <w:widowControl/>
              <w:jc w:val="left"/>
              <w:rPr>
                <w:rFonts w:ascii="LinTimes" w:hAnsi="LinTimes" w:eastAsia="仿宋_GB2312" w:cs="LinTimes"/>
                <w:bCs/>
                <w:kern w:val="0"/>
                <w:sz w:val="28"/>
                <w:szCs w:val="28"/>
                <w:highlight w:val="none"/>
              </w:rPr>
            </w:pPr>
          </w:p>
        </w:tc>
        <w:tc>
          <w:tcPr>
            <w:tcW w:w="2385" w:type="dxa"/>
            <w:noWrap w:val="0"/>
            <w:vAlign w:val="center"/>
          </w:tcPr>
          <w:p>
            <w:pPr>
              <w:widowControl/>
              <w:jc w:val="center"/>
              <w:rPr>
                <w:rFonts w:ascii="LinTimes" w:hAnsi="LinTimes" w:eastAsia="仿宋_GB2312" w:cs="LinTimes"/>
                <w:bCs/>
                <w:spacing w:val="-6"/>
                <w:kern w:val="0"/>
                <w:sz w:val="28"/>
                <w:szCs w:val="28"/>
                <w:highlight w:val="none"/>
              </w:rPr>
            </w:pPr>
            <w:r>
              <w:rPr>
                <w:rFonts w:ascii="LinTimes" w:hAnsi="LinTimes" w:eastAsia="仿宋_GB2312" w:cs="LinTimes"/>
                <w:bCs/>
                <w:spacing w:val="-6"/>
                <w:kern w:val="0"/>
                <w:sz w:val="28"/>
                <w:szCs w:val="28"/>
                <w:highlight w:val="none"/>
              </w:rPr>
              <w:t>疑难病种诊疗人数</w:t>
            </w:r>
          </w:p>
        </w:tc>
        <w:tc>
          <w:tcPr>
            <w:tcW w:w="4950"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考核期内医师诊治的本专业疑难病种出院人数。</w:t>
            </w:r>
          </w:p>
        </w:tc>
        <w:tc>
          <w:tcPr>
            <w:tcW w:w="4905"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考核期内医师诊治的符合本专业疑难病种纳入条件的出院人数之和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1417" w:type="dxa"/>
            <w:noWrap w:val="0"/>
            <w:vAlign w:val="center"/>
          </w:tcPr>
          <w:p>
            <w:pPr>
              <w:widowControl/>
              <w:jc w:val="center"/>
              <w:rPr>
                <w:rFonts w:ascii="LinTimes" w:hAnsi="LinTimes" w:eastAsia="黑体" w:cs="LinTimes"/>
                <w:kern w:val="0"/>
                <w:sz w:val="28"/>
                <w:szCs w:val="28"/>
                <w:highlight w:val="none"/>
              </w:rPr>
            </w:pPr>
            <w:r>
              <w:rPr>
                <w:rFonts w:ascii="LinTimes" w:hAnsi="LinTimes" w:eastAsia="黑体" w:cs="LinTimes"/>
                <w:kern w:val="0"/>
                <w:sz w:val="28"/>
                <w:szCs w:val="28"/>
                <w:highlight w:val="none"/>
              </w:rPr>
              <w:t>评价维度</w:t>
            </w:r>
          </w:p>
        </w:tc>
        <w:tc>
          <w:tcPr>
            <w:tcW w:w="1417" w:type="dxa"/>
            <w:noWrap w:val="0"/>
            <w:vAlign w:val="center"/>
          </w:tcPr>
          <w:p>
            <w:pPr>
              <w:widowControl/>
              <w:jc w:val="center"/>
              <w:rPr>
                <w:rFonts w:ascii="LinTimes" w:hAnsi="LinTimes" w:eastAsia="黑体" w:cs="LinTimes"/>
                <w:kern w:val="0"/>
                <w:sz w:val="28"/>
                <w:szCs w:val="28"/>
                <w:highlight w:val="none"/>
              </w:rPr>
            </w:pPr>
            <w:r>
              <w:rPr>
                <w:rFonts w:ascii="LinTimes" w:hAnsi="LinTimes" w:eastAsia="黑体" w:cs="LinTimes"/>
                <w:kern w:val="0"/>
                <w:sz w:val="28"/>
                <w:szCs w:val="28"/>
                <w:highlight w:val="none"/>
              </w:rPr>
              <w:t>二级指标</w:t>
            </w:r>
          </w:p>
        </w:tc>
        <w:tc>
          <w:tcPr>
            <w:tcW w:w="2385" w:type="dxa"/>
            <w:noWrap w:val="0"/>
            <w:vAlign w:val="center"/>
          </w:tcPr>
          <w:p>
            <w:pPr>
              <w:widowControl/>
              <w:jc w:val="center"/>
              <w:rPr>
                <w:rFonts w:ascii="LinTimes" w:hAnsi="LinTimes" w:eastAsia="黑体" w:cs="LinTimes"/>
                <w:kern w:val="0"/>
                <w:sz w:val="28"/>
                <w:szCs w:val="28"/>
                <w:highlight w:val="none"/>
              </w:rPr>
            </w:pPr>
            <w:r>
              <w:rPr>
                <w:rFonts w:ascii="LinTimes" w:hAnsi="LinTimes" w:eastAsia="黑体" w:cs="LinTimes"/>
                <w:kern w:val="0"/>
                <w:sz w:val="28"/>
                <w:szCs w:val="28"/>
                <w:highlight w:val="none"/>
              </w:rPr>
              <w:t>三级指标</w:t>
            </w:r>
          </w:p>
        </w:tc>
        <w:tc>
          <w:tcPr>
            <w:tcW w:w="4950" w:type="dxa"/>
            <w:noWrap w:val="0"/>
            <w:vAlign w:val="center"/>
          </w:tcPr>
          <w:p>
            <w:pPr>
              <w:widowControl/>
              <w:jc w:val="center"/>
              <w:rPr>
                <w:rFonts w:ascii="LinTimes" w:hAnsi="LinTimes" w:eastAsia="黑体" w:cs="LinTimes"/>
                <w:kern w:val="0"/>
                <w:sz w:val="28"/>
                <w:szCs w:val="28"/>
                <w:highlight w:val="none"/>
              </w:rPr>
            </w:pPr>
            <w:r>
              <w:rPr>
                <w:rFonts w:ascii="LinTimes" w:hAnsi="LinTimes" w:eastAsia="黑体" w:cs="LinTimes"/>
                <w:kern w:val="0"/>
                <w:sz w:val="28"/>
                <w:szCs w:val="28"/>
                <w:highlight w:val="none"/>
              </w:rPr>
              <w:t>指标定义</w:t>
            </w:r>
          </w:p>
        </w:tc>
        <w:tc>
          <w:tcPr>
            <w:tcW w:w="4905" w:type="dxa"/>
            <w:noWrap w:val="0"/>
            <w:vAlign w:val="center"/>
          </w:tcPr>
          <w:p>
            <w:pPr>
              <w:widowControl/>
              <w:jc w:val="center"/>
              <w:rPr>
                <w:rFonts w:ascii="LinTimes" w:hAnsi="LinTimes" w:eastAsia="黑体" w:cs="LinTimes"/>
                <w:kern w:val="0"/>
                <w:sz w:val="28"/>
                <w:szCs w:val="28"/>
                <w:highlight w:val="none"/>
              </w:rPr>
            </w:pPr>
            <w:r>
              <w:rPr>
                <w:rFonts w:ascii="LinTimes" w:hAnsi="LinTimes" w:eastAsia="黑体" w:cs="LinTimes"/>
                <w:kern w:val="0"/>
                <w:sz w:val="28"/>
                <w:szCs w:val="28"/>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417" w:type="dxa"/>
            <w:vMerge w:val="restart"/>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技术</w:t>
            </w:r>
          </w:p>
          <w:p>
            <w:pPr>
              <w:widowControl/>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能力</w:t>
            </w:r>
          </w:p>
        </w:tc>
        <w:tc>
          <w:tcPr>
            <w:tcW w:w="1417" w:type="dxa"/>
            <w:vMerge w:val="restart"/>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出院患者手术难度和例数</w:t>
            </w:r>
          </w:p>
        </w:tc>
        <w:tc>
          <w:tcPr>
            <w:tcW w:w="2385"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基本手术覆盖率</w:t>
            </w:r>
          </w:p>
        </w:tc>
        <w:tc>
          <w:tcPr>
            <w:tcW w:w="4950"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考核期内医师施行的本专业基本手术(或操作)种类数占所有基本手术(或操作)种类数的比例。</w:t>
            </w:r>
          </w:p>
        </w:tc>
        <w:tc>
          <w:tcPr>
            <w:tcW w:w="4905"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考核期内出院患者中医师施行的本专业手术（或操作）患者覆盖基本手术种类数/本专业基本手术（或操作）种类总数×100%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417" w:type="dxa"/>
            <w:vMerge w:val="continue"/>
            <w:noWrap w:val="0"/>
            <w:vAlign w:val="center"/>
          </w:tcPr>
          <w:p>
            <w:pPr>
              <w:widowControl/>
              <w:jc w:val="left"/>
              <w:rPr>
                <w:rFonts w:ascii="LinTimes" w:hAnsi="LinTimes" w:eastAsia="仿宋_GB2312" w:cs="LinTimes"/>
                <w:bCs/>
                <w:kern w:val="0"/>
                <w:sz w:val="28"/>
                <w:szCs w:val="28"/>
                <w:highlight w:val="none"/>
              </w:rPr>
            </w:pPr>
          </w:p>
        </w:tc>
        <w:tc>
          <w:tcPr>
            <w:tcW w:w="1417" w:type="dxa"/>
            <w:vMerge w:val="continue"/>
            <w:noWrap w:val="0"/>
            <w:vAlign w:val="center"/>
          </w:tcPr>
          <w:p>
            <w:pPr>
              <w:widowControl/>
              <w:jc w:val="left"/>
              <w:rPr>
                <w:rFonts w:ascii="LinTimes" w:hAnsi="LinTimes" w:eastAsia="仿宋_GB2312" w:cs="LinTimes"/>
                <w:bCs/>
                <w:kern w:val="0"/>
                <w:sz w:val="28"/>
                <w:szCs w:val="28"/>
                <w:highlight w:val="none"/>
              </w:rPr>
            </w:pPr>
          </w:p>
        </w:tc>
        <w:tc>
          <w:tcPr>
            <w:tcW w:w="2385"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基本手术人次数</w:t>
            </w:r>
          </w:p>
        </w:tc>
        <w:tc>
          <w:tcPr>
            <w:tcW w:w="4950"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考核期内医师施行的本专业基本手术(或操作)的人次数。</w:t>
            </w:r>
          </w:p>
        </w:tc>
        <w:tc>
          <w:tcPr>
            <w:tcW w:w="4905"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考核期内出院患者中医师施行的符合本专业基本手术（或操作）纳入条件的手术人次数之和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1417" w:type="dxa"/>
            <w:vMerge w:val="continue"/>
            <w:noWrap w:val="0"/>
            <w:vAlign w:val="center"/>
          </w:tcPr>
          <w:p>
            <w:pPr>
              <w:widowControl/>
              <w:jc w:val="left"/>
              <w:rPr>
                <w:rFonts w:ascii="LinTimes" w:hAnsi="LinTimes" w:eastAsia="仿宋_GB2312" w:cs="LinTimes"/>
                <w:bCs/>
                <w:kern w:val="0"/>
                <w:sz w:val="28"/>
                <w:szCs w:val="28"/>
                <w:highlight w:val="none"/>
              </w:rPr>
            </w:pPr>
          </w:p>
        </w:tc>
        <w:tc>
          <w:tcPr>
            <w:tcW w:w="1417" w:type="dxa"/>
            <w:vMerge w:val="continue"/>
            <w:noWrap w:val="0"/>
            <w:vAlign w:val="center"/>
          </w:tcPr>
          <w:p>
            <w:pPr>
              <w:widowControl/>
              <w:jc w:val="left"/>
              <w:rPr>
                <w:rFonts w:ascii="LinTimes" w:hAnsi="LinTimes" w:eastAsia="仿宋_GB2312" w:cs="LinTimes"/>
                <w:bCs/>
                <w:kern w:val="0"/>
                <w:sz w:val="28"/>
                <w:szCs w:val="28"/>
                <w:highlight w:val="none"/>
              </w:rPr>
            </w:pPr>
          </w:p>
        </w:tc>
        <w:tc>
          <w:tcPr>
            <w:tcW w:w="2385"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疑难手术覆盖率</w:t>
            </w:r>
          </w:p>
        </w:tc>
        <w:tc>
          <w:tcPr>
            <w:tcW w:w="4950"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考核期内医师施行的本专业疑难手术(或操作)种类数占所有疑难手术(含操作)种类数的比重。</w:t>
            </w:r>
          </w:p>
        </w:tc>
        <w:tc>
          <w:tcPr>
            <w:tcW w:w="4905"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考核期内出院患者中医师施行的本专业手术（或操作）患者覆盖疑难手术种类数/本专业疑难手术种类总数×100%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417" w:type="dxa"/>
            <w:vMerge w:val="continue"/>
            <w:noWrap w:val="0"/>
            <w:vAlign w:val="center"/>
          </w:tcPr>
          <w:p>
            <w:pPr>
              <w:widowControl/>
              <w:jc w:val="left"/>
              <w:rPr>
                <w:rFonts w:ascii="LinTimes" w:hAnsi="LinTimes" w:eastAsia="仿宋_GB2312" w:cs="LinTimes"/>
                <w:bCs/>
                <w:kern w:val="0"/>
                <w:sz w:val="28"/>
                <w:szCs w:val="28"/>
                <w:highlight w:val="none"/>
              </w:rPr>
            </w:pPr>
          </w:p>
        </w:tc>
        <w:tc>
          <w:tcPr>
            <w:tcW w:w="1417" w:type="dxa"/>
            <w:vMerge w:val="continue"/>
            <w:noWrap w:val="0"/>
            <w:vAlign w:val="center"/>
          </w:tcPr>
          <w:p>
            <w:pPr>
              <w:widowControl/>
              <w:jc w:val="left"/>
              <w:rPr>
                <w:rFonts w:ascii="LinTimes" w:hAnsi="LinTimes" w:eastAsia="仿宋_GB2312" w:cs="LinTimes"/>
                <w:bCs/>
                <w:kern w:val="0"/>
                <w:sz w:val="28"/>
                <w:szCs w:val="28"/>
                <w:highlight w:val="none"/>
              </w:rPr>
            </w:pPr>
          </w:p>
        </w:tc>
        <w:tc>
          <w:tcPr>
            <w:tcW w:w="2385"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疑难手术人次数</w:t>
            </w:r>
          </w:p>
        </w:tc>
        <w:tc>
          <w:tcPr>
            <w:tcW w:w="4950"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考核期内医师施行的本专业疑难手术(或操作)的人次数。</w:t>
            </w:r>
          </w:p>
        </w:tc>
        <w:tc>
          <w:tcPr>
            <w:tcW w:w="4905"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考核期内出院患者中医师施行的符合本专业疑难手术（或操作）纳入条件的手术人次数之和</w:t>
            </w:r>
          </w:p>
        </w:tc>
      </w:tr>
    </w:tbl>
    <w:p>
      <w:pPr>
        <w:rPr>
          <w:rFonts w:ascii="LinTimes" w:hAnsi="LinTimes" w:cs="LinTimes"/>
          <w:highlight w:val="none"/>
        </w:rPr>
      </w:pP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2385"/>
        <w:gridCol w:w="4950"/>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17"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黑体" w:cs="LinTimes"/>
                <w:kern w:val="0"/>
                <w:sz w:val="28"/>
                <w:szCs w:val="28"/>
                <w:highlight w:val="none"/>
              </w:rPr>
              <w:t>评价维度</w:t>
            </w:r>
          </w:p>
        </w:tc>
        <w:tc>
          <w:tcPr>
            <w:tcW w:w="1417"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黑体" w:cs="LinTimes"/>
                <w:kern w:val="0"/>
                <w:sz w:val="28"/>
                <w:szCs w:val="28"/>
                <w:highlight w:val="none"/>
              </w:rPr>
              <w:t>二级指标</w:t>
            </w:r>
          </w:p>
        </w:tc>
        <w:tc>
          <w:tcPr>
            <w:tcW w:w="2385"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黑体" w:cs="LinTimes"/>
                <w:kern w:val="0"/>
                <w:sz w:val="28"/>
                <w:szCs w:val="28"/>
                <w:highlight w:val="none"/>
              </w:rPr>
              <w:t>三级指标</w:t>
            </w:r>
          </w:p>
        </w:tc>
        <w:tc>
          <w:tcPr>
            <w:tcW w:w="4950"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黑体" w:cs="LinTimes"/>
                <w:kern w:val="0"/>
                <w:sz w:val="28"/>
                <w:szCs w:val="28"/>
                <w:highlight w:val="none"/>
              </w:rPr>
              <w:t>指标定义</w:t>
            </w:r>
          </w:p>
        </w:tc>
        <w:tc>
          <w:tcPr>
            <w:tcW w:w="4905"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黑体" w:cs="LinTimes"/>
                <w:kern w:val="0"/>
                <w:sz w:val="28"/>
                <w:szCs w:val="28"/>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1417" w:type="dxa"/>
            <w:vMerge w:val="restart"/>
            <w:noWrap w:val="0"/>
            <w:vAlign w:val="center"/>
          </w:tcPr>
          <w:p>
            <w:pPr>
              <w:widowControl/>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技术</w:t>
            </w:r>
          </w:p>
          <w:p>
            <w:pPr>
              <w:widowControl/>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能力</w:t>
            </w:r>
          </w:p>
        </w:tc>
        <w:tc>
          <w:tcPr>
            <w:tcW w:w="1417" w:type="dxa"/>
            <w:vMerge w:val="restart"/>
            <w:noWrap w:val="0"/>
            <w:vAlign w:val="center"/>
          </w:tcPr>
          <w:p>
            <w:pPr>
              <w:widowControl/>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中医治疗情况</w:t>
            </w:r>
          </w:p>
        </w:tc>
        <w:tc>
          <w:tcPr>
            <w:tcW w:w="2385" w:type="dxa"/>
            <w:noWrap w:val="0"/>
            <w:vAlign w:val="center"/>
          </w:tcPr>
          <w:p>
            <w:pPr>
              <w:widowControl/>
              <w:spacing w:line="440" w:lineRule="exact"/>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以中医为主治疗的出院患者比例</w:t>
            </w:r>
          </w:p>
        </w:tc>
        <w:tc>
          <w:tcPr>
            <w:tcW w:w="4950" w:type="dxa"/>
            <w:noWrap w:val="0"/>
            <w:vAlign w:val="center"/>
          </w:tcPr>
          <w:p>
            <w:pPr>
              <w:widowControl/>
              <w:spacing w:line="440" w:lineRule="exact"/>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考核期内医师以中医为主治疗本专业出院患者的比例。</w:t>
            </w:r>
          </w:p>
        </w:tc>
        <w:tc>
          <w:tcPr>
            <w:tcW w:w="4905" w:type="dxa"/>
            <w:noWrap w:val="0"/>
            <w:vAlign w:val="center"/>
          </w:tcPr>
          <w:p>
            <w:pPr>
              <w:widowControl/>
              <w:spacing w:line="440" w:lineRule="exact"/>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考核期内医师以中医为主治疗的本专业出院患者数量/本专业出院患者总数</w:t>
            </w:r>
            <w:r>
              <w:rPr>
                <w:rFonts w:hint="eastAsia" w:ascii="仿宋_GB2312" w:hAnsi="仿宋_GB2312" w:eastAsia="仿宋_GB2312" w:cs="仿宋_GB2312"/>
                <w:bCs/>
                <w:kern w:val="0"/>
                <w:sz w:val="28"/>
                <w:szCs w:val="2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417" w:type="dxa"/>
            <w:vMerge w:val="continue"/>
            <w:noWrap w:val="0"/>
            <w:vAlign w:val="center"/>
          </w:tcPr>
          <w:p>
            <w:pPr>
              <w:widowControl/>
              <w:jc w:val="center"/>
              <w:rPr>
                <w:rFonts w:hint="eastAsia" w:ascii="仿宋_GB2312" w:hAnsi="仿宋_GB2312" w:eastAsia="仿宋_GB2312" w:cs="仿宋_GB2312"/>
                <w:kern w:val="0"/>
                <w:sz w:val="28"/>
                <w:szCs w:val="28"/>
                <w:highlight w:val="none"/>
              </w:rPr>
            </w:pPr>
          </w:p>
        </w:tc>
        <w:tc>
          <w:tcPr>
            <w:tcW w:w="1417" w:type="dxa"/>
            <w:vMerge w:val="continue"/>
            <w:noWrap w:val="0"/>
            <w:vAlign w:val="center"/>
          </w:tcPr>
          <w:p>
            <w:pPr>
              <w:widowControl/>
              <w:jc w:val="center"/>
              <w:rPr>
                <w:rFonts w:hint="eastAsia" w:ascii="仿宋_GB2312" w:hAnsi="仿宋_GB2312" w:eastAsia="仿宋_GB2312" w:cs="仿宋_GB2312"/>
                <w:kern w:val="0"/>
                <w:sz w:val="28"/>
                <w:szCs w:val="28"/>
                <w:highlight w:val="none"/>
              </w:rPr>
            </w:pPr>
          </w:p>
        </w:tc>
        <w:tc>
          <w:tcPr>
            <w:tcW w:w="2385" w:type="dxa"/>
            <w:noWrap w:val="0"/>
            <w:vAlign w:val="center"/>
          </w:tcPr>
          <w:p>
            <w:pPr>
              <w:widowControl/>
              <w:spacing w:line="440" w:lineRule="exact"/>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中药饮片处方比</w:t>
            </w:r>
          </w:p>
        </w:tc>
        <w:tc>
          <w:tcPr>
            <w:tcW w:w="4950" w:type="dxa"/>
            <w:noWrap w:val="0"/>
            <w:vAlign w:val="center"/>
          </w:tcPr>
          <w:p>
            <w:pPr>
              <w:widowControl/>
              <w:spacing w:line="440" w:lineRule="exact"/>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考核期内医师对出院患者开具的中药饮片处方占所有处方的比例。</w:t>
            </w:r>
          </w:p>
        </w:tc>
        <w:tc>
          <w:tcPr>
            <w:tcW w:w="4905" w:type="dxa"/>
            <w:noWrap w:val="0"/>
            <w:vAlign w:val="center"/>
          </w:tcPr>
          <w:p>
            <w:pPr>
              <w:widowControl/>
              <w:spacing w:line="440" w:lineRule="exact"/>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考核期内医师对出院患者开具的中药饮片处方数/所有处方总数</w:t>
            </w:r>
            <w:r>
              <w:rPr>
                <w:rFonts w:hint="eastAsia" w:ascii="仿宋_GB2312" w:hAnsi="仿宋_GB2312" w:eastAsia="仿宋_GB2312" w:cs="仿宋_GB2312"/>
                <w:bCs/>
                <w:kern w:val="0"/>
                <w:sz w:val="28"/>
                <w:szCs w:val="2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17" w:type="dxa"/>
            <w:vMerge w:val="continue"/>
            <w:noWrap w:val="0"/>
            <w:vAlign w:val="center"/>
          </w:tcPr>
          <w:p>
            <w:pPr>
              <w:widowControl/>
              <w:jc w:val="center"/>
              <w:rPr>
                <w:rFonts w:hint="eastAsia" w:ascii="仿宋_GB2312" w:hAnsi="仿宋_GB2312" w:eastAsia="仿宋_GB2312" w:cs="仿宋_GB2312"/>
                <w:kern w:val="0"/>
                <w:sz w:val="28"/>
                <w:szCs w:val="28"/>
                <w:highlight w:val="none"/>
              </w:rPr>
            </w:pPr>
          </w:p>
        </w:tc>
        <w:tc>
          <w:tcPr>
            <w:tcW w:w="1417" w:type="dxa"/>
            <w:vMerge w:val="continue"/>
            <w:noWrap w:val="0"/>
            <w:vAlign w:val="center"/>
          </w:tcPr>
          <w:p>
            <w:pPr>
              <w:widowControl/>
              <w:jc w:val="center"/>
              <w:rPr>
                <w:rFonts w:hint="eastAsia" w:ascii="仿宋_GB2312" w:hAnsi="仿宋_GB2312" w:eastAsia="仿宋_GB2312" w:cs="仿宋_GB2312"/>
                <w:kern w:val="0"/>
                <w:sz w:val="28"/>
                <w:szCs w:val="28"/>
                <w:highlight w:val="none"/>
              </w:rPr>
            </w:pPr>
          </w:p>
        </w:tc>
        <w:tc>
          <w:tcPr>
            <w:tcW w:w="2385" w:type="dxa"/>
            <w:noWrap w:val="0"/>
            <w:vAlign w:val="center"/>
          </w:tcPr>
          <w:p>
            <w:pPr>
              <w:widowControl/>
              <w:spacing w:line="44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中医治疗疑难危重病患者数量</w:t>
            </w:r>
          </w:p>
        </w:tc>
        <w:tc>
          <w:tcPr>
            <w:tcW w:w="4950" w:type="dxa"/>
            <w:noWrap w:val="0"/>
            <w:vAlign w:val="center"/>
          </w:tcPr>
          <w:p>
            <w:pPr>
              <w:widowControl/>
              <w:spacing w:line="440" w:lineRule="exact"/>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考核期内医师诊治的本专业疑难病数量。</w:t>
            </w:r>
          </w:p>
        </w:tc>
        <w:tc>
          <w:tcPr>
            <w:tcW w:w="4905" w:type="dxa"/>
            <w:noWrap w:val="0"/>
            <w:vAlign w:val="center"/>
          </w:tcPr>
          <w:p>
            <w:pPr>
              <w:widowControl/>
              <w:spacing w:line="440" w:lineRule="exact"/>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考核期内出院患者中医诊治的本专业疑难病数量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1417" w:type="dxa"/>
            <w:vMerge w:val="continue"/>
            <w:noWrap w:val="0"/>
            <w:vAlign w:val="center"/>
          </w:tcPr>
          <w:p>
            <w:pPr>
              <w:widowControl/>
              <w:jc w:val="center"/>
              <w:rPr>
                <w:rFonts w:hint="eastAsia" w:ascii="仿宋_GB2312" w:hAnsi="仿宋_GB2312" w:eastAsia="仿宋_GB2312" w:cs="仿宋_GB2312"/>
                <w:kern w:val="0"/>
                <w:sz w:val="28"/>
                <w:szCs w:val="28"/>
                <w:highlight w:val="none"/>
              </w:rPr>
            </w:pPr>
          </w:p>
        </w:tc>
        <w:tc>
          <w:tcPr>
            <w:tcW w:w="1417" w:type="dxa"/>
            <w:vMerge w:val="continue"/>
            <w:noWrap w:val="0"/>
            <w:vAlign w:val="center"/>
          </w:tcPr>
          <w:p>
            <w:pPr>
              <w:widowControl/>
              <w:jc w:val="center"/>
              <w:rPr>
                <w:rFonts w:hint="eastAsia" w:ascii="仿宋_GB2312" w:hAnsi="仿宋_GB2312" w:eastAsia="仿宋_GB2312" w:cs="仿宋_GB2312"/>
                <w:kern w:val="0"/>
                <w:sz w:val="28"/>
                <w:szCs w:val="28"/>
                <w:highlight w:val="none"/>
              </w:rPr>
            </w:pPr>
          </w:p>
        </w:tc>
        <w:tc>
          <w:tcPr>
            <w:tcW w:w="2385" w:type="dxa"/>
            <w:noWrap w:val="0"/>
            <w:vAlign w:val="center"/>
          </w:tcPr>
          <w:p>
            <w:pPr>
              <w:widowControl/>
              <w:spacing w:line="44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中医非药物疗法使用率</w:t>
            </w:r>
          </w:p>
        </w:tc>
        <w:tc>
          <w:tcPr>
            <w:tcW w:w="4950" w:type="dxa"/>
            <w:noWrap w:val="0"/>
            <w:vAlign w:val="center"/>
          </w:tcPr>
          <w:p>
            <w:pPr>
              <w:widowControl/>
              <w:spacing w:line="440" w:lineRule="exact"/>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考核期内医师诊治的出院患者使用中医非药物疗法的比例。</w:t>
            </w:r>
          </w:p>
        </w:tc>
        <w:tc>
          <w:tcPr>
            <w:tcW w:w="4905" w:type="dxa"/>
            <w:noWrap w:val="0"/>
            <w:vAlign w:val="center"/>
          </w:tcPr>
          <w:p>
            <w:pPr>
              <w:widowControl/>
              <w:spacing w:line="440" w:lineRule="exact"/>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考核期内医师诊治的出院患者使用中医非药物疗法数量/中医药物和非药物疗法总数</w:t>
            </w:r>
            <w:r>
              <w:rPr>
                <w:rFonts w:hint="eastAsia" w:ascii="仿宋_GB2312" w:hAnsi="仿宋_GB2312" w:eastAsia="仿宋_GB2312" w:cs="仿宋_GB2312"/>
                <w:bCs/>
                <w:kern w:val="0"/>
                <w:sz w:val="28"/>
                <w:szCs w:val="2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417" w:type="dxa"/>
            <w:vMerge w:val="continue"/>
            <w:noWrap w:val="0"/>
            <w:vAlign w:val="center"/>
          </w:tcPr>
          <w:p>
            <w:pPr>
              <w:widowControl/>
              <w:jc w:val="center"/>
              <w:rPr>
                <w:rFonts w:hint="eastAsia" w:ascii="仿宋_GB2312" w:hAnsi="仿宋_GB2312" w:eastAsia="仿宋_GB2312" w:cs="仿宋_GB2312"/>
                <w:kern w:val="0"/>
                <w:sz w:val="28"/>
                <w:szCs w:val="28"/>
                <w:highlight w:val="none"/>
              </w:rPr>
            </w:pPr>
          </w:p>
        </w:tc>
        <w:tc>
          <w:tcPr>
            <w:tcW w:w="1417" w:type="dxa"/>
            <w:vMerge w:val="continue"/>
            <w:noWrap w:val="0"/>
            <w:vAlign w:val="center"/>
          </w:tcPr>
          <w:p>
            <w:pPr>
              <w:widowControl/>
              <w:jc w:val="center"/>
              <w:rPr>
                <w:rFonts w:hint="eastAsia" w:ascii="仿宋_GB2312" w:hAnsi="仿宋_GB2312" w:eastAsia="仿宋_GB2312" w:cs="仿宋_GB2312"/>
                <w:kern w:val="0"/>
                <w:sz w:val="28"/>
                <w:szCs w:val="28"/>
                <w:highlight w:val="none"/>
              </w:rPr>
            </w:pPr>
          </w:p>
        </w:tc>
        <w:tc>
          <w:tcPr>
            <w:tcW w:w="2385" w:type="dxa"/>
            <w:noWrap w:val="0"/>
            <w:vAlign w:val="center"/>
          </w:tcPr>
          <w:p>
            <w:pPr>
              <w:widowControl/>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中医药治疗疗效</w:t>
            </w:r>
          </w:p>
        </w:tc>
        <w:tc>
          <w:tcPr>
            <w:tcW w:w="4950" w:type="dxa"/>
            <w:noWrap w:val="0"/>
            <w:vAlign w:val="center"/>
          </w:tcPr>
          <w:p>
            <w:pPr>
              <w:widowControl/>
              <w:spacing w:line="440" w:lineRule="exact"/>
              <w:jc w:val="left"/>
              <w:rPr>
                <w:rFonts w:hint="default"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考核期内医师用中医药方法治疗本专业疾病疗效</w:t>
            </w:r>
            <w:r>
              <w:rPr>
                <w:rFonts w:hint="default" w:ascii="仿宋_GB2312" w:hAnsi="仿宋_GB2312" w:eastAsia="仿宋_GB2312" w:cs="仿宋_GB2312"/>
                <w:kern w:val="0"/>
                <w:sz w:val="28"/>
                <w:szCs w:val="28"/>
                <w:highlight w:val="none"/>
              </w:rPr>
              <w:t>。</w:t>
            </w:r>
          </w:p>
        </w:tc>
        <w:tc>
          <w:tcPr>
            <w:tcW w:w="4905" w:type="dxa"/>
            <w:noWrap w:val="0"/>
            <w:vAlign w:val="center"/>
          </w:tcPr>
          <w:p>
            <w:pPr>
              <w:widowControl/>
              <w:spacing w:line="440" w:lineRule="exact"/>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同行评议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7"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黑体" w:cs="LinTimes"/>
                <w:kern w:val="0"/>
                <w:sz w:val="28"/>
                <w:szCs w:val="28"/>
                <w:highlight w:val="none"/>
              </w:rPr>
              <w:t>评价维度</w:t>
            </w:r>
          </w:p>
        </w:tc>
        <w:tc>
          <w:tcPr>
            <w:tcW w:w="1417"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黑体" w:cs="LinTimes"/>
                <w:kern w:val="0"/>
                <w:sz w:val="28"/>
                <w:szCs w:val="28"/>
                <w:highlight w:val="none"/>
              </w:rPr>
              <w:t>二级指标</w:t>
            </w:r>
          </w:p>
        </w:tc>
        <w:tc>
          <w:tcPr>
            <w:tcW w:w="2385"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黑体" w:cs="LinTimes"/>
                <w:kern w:val="0"/>
                <w:sz w:val="28"/>
                <w:szCs w:val="28"/>
                <w:highlight w:val="none"/>
              </w:rPr>
              <w:t>三级指标</w:t>
            </w:r>
          </w:p>
        </w:tc>
        <w:tc>
          <w:tcPr>
            <w:tcW w:w="4950"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黑体" w:cs="LinTimes"/>
                <w:kern w:val="0"/>
                <w:sz w:val="28"/>
                <w:szCs w:val="28"/>
                <w:highlight w:val="none"/>
              </w:rPr>
              <w:t>指标定义</w:t>
            </w:r>
          </w:p>
        </w:tc>
        <w:tc>
          <w:tcPr>
            <w:tcW w:w="4905"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黑体" w:cs="LinTimes"/>
                <w:kern w:val="0"/>
                <w:sz w:val="28"/>
                <w:szCs w:val="28"/>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7"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质量</w:t>
            </w:r>
          </w:p>
          <w:p>
            <w:pPr>
              <w:widowControl/>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安全</w:t>
            </w:r>
          </w:p>
        </w:tc>
        <w:tc>
          <w:tcPr>
            <w:tcW w:w="1417" w:type="dxa"/>
            <w:noWrap w:val="0"/>
            <w:vAlign w:val="center"/>
          </w:tcPr>
          <w:p>
            <w:pPr>
              <w:widowControl/>
              <w:spacing w:line="400" w:lineRule="exact"/>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并发症</w:t>
            </w:r>
          </w:p>
          <w:p>
            <w:pPr>
              <w:widowControl/>
              <w:spacing w:line="400" w:lineRule="exact"/>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发生率</w:t>
            </w:r>
          </w:p>
        </w:tc>
        <w:tc>
          <w:tcPr>
            <w:tcW w:w="2385" w:type="dxa"/>
            <w:noWrap w:val="0"/>
            <w:vAlign w:val="center"/>
          </w:tcPr>
          <w:p>
            <w:pPr>
              <w:widowControl/>
              <w:spacing w:line="440" w:lineRule="exact"/>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出院患者并发症发生率</w:t>
            </w:r>
          </w:p>
        </w:tc>
        <w:tc>
          <w:tcPr>
            <w:tcW w:w="4950"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考核期内医师诊治的出院患者在住院期间因治疗或者施行某种择期手术或操作而发生并发症的例数占同期医师诊治的出院人数的比例。</w:t>
            </w:r>
          </w:p>
        </w:tc>
        <w:tc>
          <w:tcPr>
            <w:tcW w:w="4905"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考核期内医师诊治的出院患者在住院期间因治疗或者施行某种择期手术或操作而发生并发症的人数/同期该医师诊治的所有出院人数×100%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7"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资源</w:t>
            </w:r>
          </w:p>
          <w:p>
            <w:pPr>
              <w:widowControl/>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利用</w:t>
            </w:r>
          </w:p>
        </w:tc>
        <w:tc>
          <w:tcPr>
            <w:tcW w:w="1417" w:type="dxa"/>
            <w:noWrap w:val="0"/>
            <w:vAlign w:val="center"/>
          </w:tcPr>
          <w:p>
            <w:pPr>
              <w:widowControl/>
              <w:spacing w:line="400" w:lineRule="exact"/>
              <w:jc w:val="center"/>
              <w:rPr>
                <w:rFonts w:ascii="LinTimes" w:hAnsi="LinTimes" w:eastAsia="仿宋_GB2312" w:cs="LinTimes"/>
                <w:bCs/>
                <w:kern w:val="0"/>
                <w:sz w:val="28"/>
                <w:szCs w:val="28"/>
                <w:highlight w:val="none"/>
              </w:rPr>
            </w:pPr>
            <w:r>
              <w:rPr>
                <w:rFonts w:ascii="LinTimes" w:hAnsi="LinTimes" w:eastAsia="仿宋_GB2312" w:cs="LinTimes"/>
                <w:bCs/>
                <w:spacing w:val="-23"/>
                <w:kern w:val="0"/>
                <w:sz w:val="28"/>
                <w:szCs w:val="28"/>
                <w:highlight w:val="none"/>
              </w:rPr>
              <w:t>平均住院日</w:t>
            </w:r>
          </w:p>
        </w:tc>
        <w:tc>
          <w:tcPr>
            <w:tcW w:w="2385"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平均住院日</w:t>
            </w:r>
          </w:p>
        </w:tc>
        <w:tc>
          <w:tcPr>
            <w:tcW w:w="4950"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考核期内医师诊治的某病种出院患者平均住院时间。</w:t>
            </w:r>
          </w:p>
        </w:tc>
        <w:tc>
          <w:tcPr>
            <w:tcW w:w="4905"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考核期内医师诊治的某病种出院患者占用总床日数/同期该医师诊治的同病种出院人数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7" w:type="dxa"/>
            <w:noWrap w:val="0"/>
            <w:vAlign w:val="center"/>
          </w:tcPr>
          <w:p>
            <w:pPr>
              <w:widowControl/>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患者</w:t>
            </w:r>
          </w:p>
          <w:p>
            <w:pPr>
              <w:widowControl/>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管理</w:t>
            </w:r>
          </w:p>
        </w:tc>
        <w:tc>
          <w:tcPr>
            <w:tcW w:w="1417" w:type="dxa"/>
            <w:noWrap w:val="0"/>
            <w:vAlign w:val="center"/>
          </w:tcPr>
          <w:p>
            <w:pPr>
              <w:widowControl/>
              <w:spacing w:line="400" w:lineRule="exact"/>
              <w:jc w:val="center"/>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次均费用</w:t>
            </w:r>
          </w:p>
        </w:tc>
        <w:tc>
          <w:tcPr>
            <w:tcW w:w="2385" w:type="dxa"/>
            <w:noWrap w:val="0"/>
            <w:vAlign w:val="center"/>
          </w:tcPr>
          <w:p>
            <w:pPr>
              <w:widowControl/>
              <w:jc w:val="center"/>
              <w:rPr>
                <w:rFonts w:ascii="LinTimes" w:hAnsi="LinTimes" w:eastAsia="仿宋_GB2312" w:cs="LinTimes"/>
                <w:bCs/>
                <w:spacing w:val="-6"/>
                <w:kern w:val="0"/>
                <w:sz w:val="28"/>
                <w:szCs w:val="28"/>
                <w:highlight w:val="none"/>
              </w:rPr>
            </w:pPr>
            <w:r>
              <w:rPr>
                <w:rFonts w:ascii="LinTimes" w:hAnsi="LinTimes" w:eastAsia="仿宋_GB2312" w:cs="LinTimes"/>
                <w:bCs/>
                <w:spacing w:val="-6"/>
                <w:kern w:val="0"/>
                <w:sz w:val="28"/>
                <w:szCs w:val="28"/>
                <w:highlight w:val="none"/>
              </w:rPr>
              <w:t>住院患者次均费用</w:t>
            </w:r>
          </w:p>
        </w:tc>
        <w:tc>
          <w:tcPr>
            <w:tcW w:w="4950"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考核期内医师诊治的某病种出院患者平均住院费用。</w:t>
            </w:r>
          </w:p>
        </w:tc>
        <w:tc>
          <w:tcPr>
            <w:tcW w:w="4905" w:type="dxa"/>
            <w:noWrap w:val="0"/>
            <w:vAlign w:val="center"/>
          </w:tcPr>
          <w:p>
            <w:pPr>
              <w:widowControl/>
              <w:spacing w:line="440" w:lineRule="exact"/>
              <w:jc w:val="left"/>
              <w:rPr>
                <w:rFonts w:ascii="LinTimes" w:hAnsi="LinTimes" w:eastAsia="仿宋_GB2312" w:cs="LinTimes"/>
                <w:bCs/>
                <w:kern w:val="0"/>
                <w:sz w:val="28"/>
                <w:szCs w:val="28"/>
                <w:highlight w:val="none"/>
              </w:rPr>
            </w:pPr>
            <w:r>
              <w:rPr>
                <w:rFonts w:ascii="LinTimes" w:hAnsi="LinTimes" w:eastAsia="仿宋_GB2312" w:cs="LinTimes"/>
                <w:bCs/>
                <w:kern w:val="0"/>
                <w:sz w:val="28"/>
                <w:szCs w:val="28"/>
                <w:highlight w:val="none"/>
              </w:rPr>
              <w:t>考核期内医师诊治的某病种出院患者总住院费用/同期该医师诊治的同病种出院人数</w:t>
            </w:r>
          </w:p>
        </w:tc>
      </w:tr>
    </w:tbl>
    <w:p>
      <w:pPr>
        <w:spacing w:before="156" w:beforeLines="50" w:line="320" w:lineRule="exact"/>
        <w:rPr>
          <w:rFonts w:ascii="LinTimes" w:hAnsi="LinTimes" w:eastAsia="楷体" w:cs="LinTimes"/>
          <w:sz w:val="24"/>
          <w:highlight w:val="none"/>
        </w:rPr>
      </w:pPr>
      <w:r>
        <w:rPr>
          <w:rFonts w:ascii="LinTimes" w:hAnsi="LinTimes" w:eastAsia="楷体" w:cs="LinTimes"/>
          <w:sz w:val="24"/>
          <w:highlight w:val="none"/>
        </w:rPr>
        <w:t>注：1. 某专业基本病种、疑难病种、基本手术、疑难手术由专家共识和大数据统计结果形成。</w:t>
      </w:r>
    </w:p>
    <w:p>
      <w:pPr>
        <w:keepNext w:val="0"/>
        <w:keepLines w:val="0"/>
        <w:pageBreakBefore w:val="0"/>
        <w:widowControl w:val="0"/>
        <w:kinsoku/>
        <w:wordWrap/>
        <w:overflowPunct/>
        <w:topLinePunct w:val="0"/>
        <w:autoSpaceDE/>
        <w:autoSpaceDN/>
        <w:bidi w:val="0"/>
        <w:adjustRightInd/>
        <w:snapToGrid/>
        <w:spacing w:line="320" w:lineRule="exact"/>
        <w:ind w:firstLine="476"/>
        <w:textAlignment w:val="auto"/>
        <w:rPr>
          <w:rFonts w:hint="eastAsia" w:hAnsi="Calibri"/>
          <w:bCs/>
          <w:sz w:val="32"/>
          <w:szCs w:val="32"/>
        </w:rPr>
      </w:pPr>
      <w:r>
        <w:rPr>
          <w:rFonts w:ascii="LinTimes" w:hAnsi="LinTimes" w:eastAsia="楷体" w:cs="LinTimes"/>
          <w:sz w:val="24"/>
          <w:highlight w:val="none"/>
        </w:rPr>
        <w:t>2. 手术人次计算：患者在1次住院期间施行多次手术，按实际手术次数统计；在1次手术中涉及多个部位手术的按1次统计。</w:t>
      </w:r>
      <w:r>
        <w:rPr>
          <w:rFonts w:hint="eastAsia" w:hAnsi="Calibri"/>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ascii="LinTimes" w:hAnsi="LinTimes" w:eastAsia="楷体_GB2312" w:cs="LinTimes"/>
          <w:sz w:val="24"/>
          <w:highlight w:val="none"/>
        </w:rPr>
      </w:pPr>
      <w:r>
        <w:rPr>
          <w:rFonts w:hint="default" w:ascii="LinTimes" w:hAnsi="LinTimes" w:eastAsia="楷体" w:cs="LinTimes"/>
          <w:sz w:val="24"/>
          <w:highlight w:val="none"/>
        </w:rPr>
        <w:t>3. 中药饮片处方比和中医非药物疗法使用率两个指标可任选其一，也可同时使用，视各地具体情况确定。</w:t>
      </w:r>
      <w:r>
        <w:rPr>
          <w:rFonts w:hint="eastAsia" w:ascii="LinTimes" w:hAnsi="LinTimes" w:eastAsia="楷体" w:cs="LinTimes"/>
          <w:sz w:val="24"/>
          <w:highlight w:val="none"/>
        </w:rPr>
        <w:t xml:space="preserve"> </w:t>
      </w:r>
      <w:r>
        <w:rPr>
          <w:rFonts w:hint="eastAsia" w:ascii="LinTimes" w:hAnsi="LinTimes" w:eastAsia="楷体" w:cs="LinTimes"/>
          <w:sz w:val="24"/>
          <w:highlight w:val="none"/>
          <w:lang w:val="en-US" w:eastAsia="zh-CN"/>
        </w:rPr>
        <w:t xml:space="preserve"> </w:t>
      </w:r>
    </w:p>
    <w:p>
      <w:pPr>
        <w:spacing w:line="320" w:lineRule="exact"/>
        <w:ind w:firstLine="476"/>
        <w:rPr>
          <w:rFonts w:ascii="LinTimes" w:hAnsi="LinTimes" w:eastAsia="楷体" w:cs="LinTimes"/>
          <w:sz w:val="24"/>
          <w:highlight w:val="none"/>
        </w:rPr>
      </w:pPr>
    </w:p>
    <w:sectPr>
      <w:headerReference r:id="rId3" w:type="default"/>
      <w:footerReference r:id="rId4" w:type="default"/>
      <w:pgSz w:w="16838" w:h="11906" w:orient="landscape"/>
      <w:pgMar w:top="1576" w:right="1440" w:bottom="1519" w:left="1440"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LinTimes">
    <w:altName w:val="Times New Roman"/>
    <w:panose1 w:val="02020603050405020304"/>
    <w:charset w:val="00"/>
    <w:family w:val="auto"/>
    <w:pitch w:val="default"/>
    <w:sig w:usb0="00007A87" w:usb1="80000000" w:usb2="00000008"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143"/>
    <w:rsid w:val="00022607"/>
    <w:rsid w:val="000516F1"/>
    <w:rsid w:val="00055F63"/>
    <w:rsid w:val="00076FF8"/>
    <w:rsid w:val="00086E2C"/>
    <w:rsid w:val="000A2AA0"/>
    <w:rsid w:val="000A3F3E"/>
    <w:rsid w:val="000C0520"/>
    <w:rsid w:val="000E5428"/>
    <w:rsid w:val="00136F6F"/>
    <w:rsid w:val="00164698"/>
    <w:rsid w:val="00172A80"/>
    <w:rsid w:val="001907E8"/>
    <w:rsid w:val="00216F77"/>
    <w:rsid w:val="0027355C"/>
    <w:rsid w:val="00281651"/>
    <w:rsid w:val="002B122D"/>
    <w:rsid w:val="002C6F15"/>
    <w:rsid w:val="002E1E39"/>
    <w:rsid w:val="002F6576"/>
    <w:rsid w:val="00321466"/>
    <w:rsid w:val="003217C2"/>
    <w:rsid w:val="00336DE2"/>
    <w:rsid w:val="00346FCA"/>
    <w:rsid w:val="00374740"/>
    <w:rsid w:val="0038440B"/>
    <w:rsid w:val="003939FD"/>
    <w:rsid w:val="00397882"/>
    <w:rsid w:val="003C4025"/>
    <w:rsid w:val="003C6F60"/>
    <w:rsid w:val="003D613D"/>
    <w:rsid w:val="003E6455"/>
    <w:rsid w:val="0042053A"/>
    <w:rsid w:val="0042460F"/>
    <w:rsid w:val="00425AC3"/>
    <w:rsid w:val="00431AA2"/>
    <w:rsid w:val="00446D06"/>
    <w:rsid w:val="005412F4"/>
    <w:rsid w:val="00554A8B"/>
    <w:rsid w:val="00565EE8"/>
    <w:rsid w:val="00572D62"/>
    <w:rsid w:val="00573463"/>
    <w:rsid w:val="00592C29"/>
    <w:rsid w:val="005A00A8"/>
    <w:rsid w:val="005C60B6"/>
    <w:rsid w:val="005F3547"/>
    <w:rsid w:val="006D54F1"/>
    <w:rsid w:val="00705BBC"/>
    <w:rsid w:val="007A3A4D"/>
    <w:rsid w:val="007A4BCC"/>
    <w:rsid w:val="007E2042"/>
    <w:rsid w:val="00801C9B"/>
    <w:rsid w:val="00817B64"/>
    <w:rsid w:val="00826E94"/>
    <w:rsid w:val="00833F24"/>
    <w:rsid w:val="0089597A"/>
    <w:rsid w:val="008F5AFA"/>
    <w:rsid w:val="00901942"/>
    <w:rsid w:val="0093755F"/>
    <w:rsid w:val="00961AF9"/>
    <w:rsid w:val="009713CB"/>
    <w:rsid w:val="009B6E8E"/>
    <w:rsid w:val="009D6D33"/>
    <w:rsid w:val="009D7734"/>
    <w:rsid w:val="009F79F2"/>
    <w:rsid w:val="009F7E5F"/>
    <w:rsid w:val="00A012D9"/>
    <w:rsid w:val="00A038B2"/>
    <w:rsid w:val="00A04C84"/>
    <w:rsid w:val="00A37FA9"/>
    <w:rsid w:val="00A97A76"/>
    <w:rsid w:val="00AB0333"/>
    <w:rsid w:val="00B338F1"/>
    <w:rsid w:val="00B35469"/>
    <w:rsid w:val="00B36E50"/>
    <w:rsid w:val="00B3742A"/>
    <w:rsid w:val="00B51CD6"/>
    <w:rsid w:val="00B67576"/>
    <w:rsid w:val="00B72E72"/>
    <w:rsid w:val="00BA57E2"/>
    <w:rsid w:val="00C762E8"/>
    <w:rsid w:val="00CA6F43"/>
    <w:rsid w:val="00CA7937"/>
    <w:rsid w:val="00CB5857"/>
    <w:rsid w:val="00D22FAE"/>
    <w:rsid w:val="00D2783B"/>
    <w:rsid w:val="00DA0305"/>
    <w:rsid w:val="00DC4496"/>
    <w:rsid w:val="00DC6E17"/>
    <w:rsid w:val="00E26ACE"/>
    <w:rsid w:val="00E55907"/>
    <w:rsid w:val="00E65393"/>
    <w:rsid w:val="00E94079"/>
    <w:rsid w:val="00E94438"/>
    <w:rsid w:val="00E96201"/>
    <w:rsid w:val="00EC06D4"/>
    <w:rsid w:val="00EC67A7"/>
    <w:rsid w:val="00F03E8B"/>
    <w:rsid w:val="00F1693B"/>
    <w:rsid w:val="00F512AF"/>
    <w:rsid w:val="00F83639"/>
    <w:rsid w:val="00FE7FF9"/>
    <w:rsid w:val="011A0991"/>
    <w:rsid w:val="015F5ACE"/>
    <w:rsid w:val="021146B8"/>
    <w:rsid w:val="033632C1"/>
    <w:rsid w:val="046F4767"/>
    <w:rsid w:val="04D71483"/>
    <w:rsid w:val="04D82746"/>
    <w:rsid w:val="057C678F"/>
    <w:rsid w:val="06520343"/>
    <w:rsid w:val="074E78AF"/>
    <w:rsid w:val="08036DCC"/>
    <w:rsid w:val="0A301324"/>
    <w:rsid w:val="0B665C10"/>
    <w:rsid w:val="0BF78ED8"/>
    <w:rsid w:val="0CD05E53"/>
    <w:rsid w:val="0EE673DB"/>
    <w:rsid w:val="0F57EFE1"/>
    <w:rsid w:val="0F5B06B9"/>
    <w:rsid w:val="0F84795F"/>
    <w:rsid w:val="10991428"/>
    <w:rsid w:val="11220624"/>
    <w:rsid w:val="113706D2"/>
    <w:rsid w:val="11E109AA"/>
    <w:rsid w:val="121F0173"/>
    <w:rsid w:val="12C018AD"/>
    <w:rsid w:val="12EF6B46"/>
    <w:rsid w:val="13541D95"/>
    <w:rsid w:val="13CA7A86"/>
    <w:rsid w:val="151C089A"/>
    <w:rsid w:val="16165957"/>
    <w:rsid w:val="161D0B51"/>
    <w:rsid w:val="16FEFAB9"/>
    <w:rsid w:val="1734332B"/>
    <w:rsid w:val="181F2842"/>
    <w:rsid w:val="18217F3D"/>
    <w:rsid w:val="187C3907"/>
    <w:rsid w:val="18DE11CE"/>
    <w:rsid w:val="190C49DD"/>
    <w:rsid w:val="1B0C679C"/>
    <w:rsid w:val="1B9D7176"/>
    <w:rsid w:val="1BCC3BD1"/>
    <w:rsid w:val="1BDF1329"/>
    <w:rsid w:val="1C417499"/>
    <w:rsid w:val="1C996E05"/>
    <w:rsid w:val="1D5D0201"/>
    <w:rsid w:val="1E774E5B"/>
    <w:rsid w:val="1EA779E2"/>
    <w:rsid w:val="1F7C4D2C"/>
    <w:rsid w:val="22856D07"/>
    <w:rsid w:val="22C57CB8"/>
    <w:rsid w:val="22DE3054"/>
    <w:rsid w:val="22EB6FA9"/>
    <w:rsid w:val="230933C2"/>
    <w:rsid w:val="23DD64E6"/>
    <w:rsid w:val="24B25497"/>
    <w:rsid w:val="25401412"/>
    <w:rsid w:val="264443B5"/>
    <w:rsid w:val="27381B48"/>
    <w:rsid w:val="27BFEE51"/>
    <w:rsid w:val="292774A5"/>
    <w:rsid w:val="294B6AEC"/>
    <w:rsid w:val="2A5B2343"/>
    <w:rsid w:val="2AA86C6F"/>
    <w:rsid w:val="2C82383C"/>
    <w:rsid w:val="2CAF3790"/>
    <w:rsid w:val="2DD7770B"/>
    <w:rsid w:val="2F4141FE"/>
    <w:rsid w:val="2F5D5128"/>
    <w:rsid w:val="2F6F37B8"/>
    <w:rsid w:val="2F8466F0"/>
    <w:rsid w:val="2FCE2540"/>
    <w:rsid w:val="2FFB5648"/>
    <w:rsid w:val="31F65AAE"/>
    <w:rsid w:val="32091953"/>
    <w:rsid w:val="34387B96"/>
    <w:rsid w:val="3454110C"/>
    <w:rsid w:val="346C0759"/>
    <w:rsid w:val="34863CB8"/>
    <w:rsid w:val="349A2101"/>
    <w:rsid w:val="34DA0486"/>
    <w:rsid w:val="3521659A"/>
    <w:rsid w:val="352267AB"/>
    <w:rsid w:val="3661627B"/>
    <w:rsid w:val="367E33BC"/>
    <w:rsid w:val="369061CA"/>
    <w:rsid w:val="36A54A63"/>
    <w:rsid w:val="36CB32E6"/>
    <w:rsid w:val="373417C5"/>
    <w:rsid w:val="37C76DEE"/>
    <w:rsid w:val="38D812D2"/>
    <w:rsid w:val="39062292"/>
    <w:rsid w:val="3965C864"/>
    <w:rsid w:val="39D50600"/>
    <w:rsid w:val="3A1F67B7"/>
    <w:rsid w:val="3AC82978"/>
    <w:rsid w:val="3BEE6C73"/>
    <w:rsid w:val="3BEF69D6"/>
    <w:rsid w:val="3D706EB8"/>
    <w:rsid w:val="3D88305F"/>
    <w:rsid w:val="3D8E7E03"/>
    <w:rsid w:val="3DEF24D0"/>
    <w:rsid w:val="3DFBFE11"/>
    <w:rsid w:val="3E6972E7"/>
    <w:rsid w:val="3E73865F"/>
    <w:rsid w:val="3E7CEDCE"/>
    <w:rsid w:val="3EDB60DC"/>
    <w:rsid w:val="3EDE2FDA"/>
    <w:rsid w:val="3F0928EE"/>
    <w:rsid w:val="3F2B19DC"/>
    <w:rsid w:val="3F2F8809"/>
    <w:rsid w:val="3F5FB1B4"/>
    <w:rsid w:val="3F7FCFE0"/>
    <w:rsid w:val="3FDF241D"/>
    <w:rsid w:val="3FEA4EE8"/>
    <w:rsid w:val="3FFE14CA"/>
    <w:rsid w:val="401C5365"/>
    <w:rsid w:val="409B1AAE"/>
    <w:rsid w:val="428A66A8"/>
    <w:rsid w:val="442A073D"/>
    <w:rsid w:val="451B6616"/>
    <w:rsid w:val="452E0DFE"/>
    <w:rsid w:val="46510187"/>
    <w:rsid w:val="47046BAA"/>
    <w:rsid w:val="472A770F"/>
    <w:rsid w:val="474E24C4"/>
    <w:rsid w:val="476067F0"/>
    <w:rsid w:val="47CD9010"/>
    <w:rsid w:val="48980919"/>
    <w:rsid w:val="48C45BDA"/>
    <w:rsid w:val="492C5CEE"/>
    <w:rsid w:val="49C438B8"/>
    <w:rsid w:val="4A85550F"/>
    <w:rsid w:val="4A9C2E14"/>
    <w:rsid w:val="4B69184D"/>
    <w:rsid w:val="4BE6193C"/>
    <w:rsid w:val="4C833D2D"/>
    <w:rsid w:val="4CB05D1C"/>
    <w:rsid w:val="4D2727AE"/>
    <w:rsid w:val="4D8D6996"/>
    <w:rsid w:val="4DD67DEF"/>
    <w:rsid w:val="4E67704D"/>
    <w:rsid w:val="4EB476E4"/>
    <w:rsid w:val="4FBE3949"/>
    <w:rsid w:val="4FFB6225"/>
    <w:rsid w:val="50480C7E"/>
    <w:rsid w:val="50724072"/>
    <w:rsid w:val="50B4EFB7"/>
    <w:rsid w:val="50C720E6"/>
    <w:rsid w:val="514509A1"/>
    <w:rsid w:val="52A76BE0"/>
    <w:rsid w:val="52FB4AEB"/>
    <w:rsid w:val="537C3859"/>
    <w:rsid w:val="53FFEE8D"/>
    <w:rsid w:val="55FFABBD"/>
    <w:rsid w:val="575D88C9"/>
    <w:rsid w:val="59604C1B"/>
    <w:rsid w:val="5A1924BD"/>
    <w:rsid w:val="5ADF04C9"/>
    <w:rsid w:val="5BFC0CA0"/>
    <w:rsid w:val="5BFF48A3"/>
    <w:rsid w:val="5C4111A0"/>
    <w:rsid w:val="5C4F9EF2"/>
    <w:rsid w:val="5E154028"/>
    <w:rsid w:val="5E1821BD"/>
    <w:rsid w:val="5E2274EE"/>
    <w:rsid w:val="5E722005"/>
    <w:rsid w:val="5EA56C54"/>
    <w:rsid w:val="5EA5B70F"/>
    <w:rsid w:val="5F5FBBBC"/>
    <w:rsid w:val="5FD68104"/>
    <w:rsid w:val="5FF5EB9D"/>
    <w:rsid w:val="5FFE7416"/>
    <w:rsid w:val="60076BA5"/>
    <w:rsid w:val="61016F87"/>
    <w:rsid w:val="62305595"/>
    <w:rsid w:val="634A18C0"/>
    <w:rsid w:val="64687026"/>
    <w:rsid w:val="64B76C96"/>
    <w:rsid w:val="661951B0"/>
    <w:rsid w:val="674D3423"/>
    <w:rsid w:val="67CD2077"/>
    <w:rsid w:val="68561ECA"/>
    <w:rsid w:val="68BD0209"/>
    <w:rsid w:val="69291974"/>
    <w:rsid w:val="69C710ED"/>
    <w:rsid w:val="6B778CB0"/>
    <w:rsid w:val="6BB7D590"/>
    <w:rsid w:val="6BDB20CB"/>
    <w:rsid w:val="6BEBCA53"/>
    <w:rsid w:val="6BFE9AA2"/>
    <w:rsid w:val="6D102B20"/>
    <w:rsid w:val="6D192A41"/>
    <w:rsid w:val="6D547F36"/>
    <w:rsid w:val="6D6A0E2A"/>
    <w:rsid w:val="6DFFA1E1"/>
    <w:rsid w:val="6EFF6260"/>
    <w:rsid w:val="6F1D64B1"/>
    <w:rsid w:val="6F1EF790"/>
    <w:rsid w:val="6F6FEC13"/>
    <w:rsid w:val="6FABD8EF"/>
    <w:rsid w:val="6FBEDE6B"/>
    <w:rsid w:val="6FDE4EED"/>
    <w:rsid w:val="6FFF3F11"/>
    <w:rsid w:val="712E0F67"/>
    <w:rsid w:val="7191403C"/>
    <w:rsid w:val="71A1323B"/>
    <w:rsid w:val="71C518CF"/>
    <w:rsid w:val="71D010EA"/>
    <w:rsid w:val="721F5328"/>
    <w:rsid w:val="725F61C2"/>
    <w:rsid w:val="736FFC40"/>
    <w:rsid w:val="73EDD6DC"/>
    <w:rsid w:val="73FF8B0C"/>
    <w:rsid w:val="741056D6"/>
    <w:rsid w:val="744A3084"/>
    <w:rsid w:val="74A06648"/>
    <w:rsid w:val="755F38D1"/>
    <w:rsid w:val="757773DC"/>
    <w:rsid w:val="75F5F417"/>
    <w:rsid w:val="76EE359B"/>
    <w:rsid w:val="76FB3DA0"/>
    <w:rsid w:val="7721510F"/>
    <w:rsid w:val="77A02A75"/>
    <w:rsid w:val="77D776B8"/>
    <w:rsid w:val="79A808B4"/>
    <w:rsid w:val="79DBDB0F"/>
    <w:rsid w:val="7A094EC3"/>
    <w:rsid w:val="7A2E1CB9"/>
    <w:rsid w:val="7A6220F7"/>
    <w:rsid w:val="7BB76692"/>
    <w:rsid w:val="7BCD20DD"/>
    <w:rsid w:val="7BD149D1"/>
    <w:rsid w:val="7BDC4BC0"/>
    <w:rsid w:val="7BFF5B3D"/>
    <w:rsid w:val="7BFF7BFF"/>
    <w:rsid w:val="7C3B1533"/>
    <w:rsid w:val="7CA05B60"/>
    <w:rsid w:val="7CE56CCC"/>
    <w:rsid w:val="7D8F0505"/>
    <w:rsid w:val="7D9787B1"/>
    <w:rsid w:val="7DBDD9CD"/>
    <w:rsid w:val="7DFD436B"/>
    <w:rsid w:val="7E9961EC"/>
    <w:rsid w:val="7EA60C3A"/>
    <w:rsid w:val="7EFB871E"/>
    <w:rsid w:val="7F2E6ACB"/>
    <w:rsid w:val="7F4B37F1"/>
    <w:rsid w:val="7F513863"/>
    <w:rsid w:val="7F6F63B4"/>
    <w:rsid w:val="7FAE6570"/>
    <w:rsid w:val="7FBF060F"/>
    <w:rsid w:val="7FBFD5AB"/>
    <w:rsid w:val="7FD683FC"/>
    <w:rsid w:val="7FE6D767"/>
    <w:rsid w:val="7FEF06C2"/>
    <w:rsid w:val="7FF6F98A"/>
    <w:rsid w:val="7FFF32A5"/>
    <w:rsid w:val="7FFFC844"/>
    <w:rsid w:val="8BE5C9DE"/>
    <w:rsid w:val="9FFF712B"/>
    <w:rsid w:val="A689E7FD"/>
    <w:rsid w:val="ABE7F71A"/>
    <w:rsid w:val="ADF74055"/>
    <w:rsid w:val="AF9293F7"/>
    <w:rsid w:val="AFEA2C1F"/>
    <w:rsid w:val="B7FD9D4A"/>
    <w:rsid w:val="B977F87A"/>
    <w:rsid w:val="BBFE2938"/>
    <w:rsid w:val="BD3F2AC8"/>
    <w:rsid w:val="BE04001D"/>
    <w:rsid w:val="BEDF710B"/>
    <w:rsid w:val="BF7582FF"/>
    <w:rsid w:val="BF7BC6B9"/>
    <w:rsid w:val="BFAD42A4"/>
    <w:rsid w:val="BFDF188A"/>
    <w:rsid w:val="BFFF6DB6"/>
    <w:rsid w:val="C7731899"/>
    <w:rsid w:val="CE6DA4AF"/>
    <w:rsid w:val="CF37EF26"/>
    <w:rsid w:val="CFFE3707"/>
    <w:rsid w:val="D5BEEA83"/>
    <w:rsid w:val="D79A3A49"/>
    <w:rsid w:val="D7B7181D"/>
    <w:rsid w:val="DCDD624F"/>
    <w:rsid w:val="DDE7F3B3"/>
    <w:rsid w:val="DE767340"/>
    <w:rsid w:val="DEEFE83E"/>
    <w:rsid w:val="DFABC953"/>
    <w:rsid w:val="DFAE3521"/>
    <w:rsid w:val="DFEB3752"/>
    <w:rsid w:val="DFFBCA66"/>
    <w:rsid w:val="DFFF0CD1"/>
    <w:rsid w:val="DFFF9788"/>
    <w:rsid w:val="E2FD0E87"/>
    <w:rsid w:val="E37DC123"/>
    <w:rsid w:val="E5DF71D6"/>
    <w:rsid w:val="E6DE4449"/>
    <w:rsid w:val="E6E32812"/>
    <w:rsid w:val="E6FFD4DA"/>
    <w:rsid w:val="E92F62FB"/>
    <w:rsid w:val="EAE8FEC1"/>
    <w:rsid w:val="EAFAE404"/>
    <w:rsid w:val="EBE800D3"/>
    <w:rsid w:val="EBFDE796"/>
    <w:rsid w:val="EDB37564"/>
    <w:rsid w:val="EDD4C2DD"/>
    <w:rsid w:val="EEBBCEC4"/>
    <w:rsid w:val="EEDB6491"/>
    <w:rsid w:val="EF6F03DA"/>
    <w:rsid w:val="EF6FAC24"/>
    <w:rsid w:val="EF7F0722"/>
    <w:rsid w:val="EFFB4858"/>
    <w:rsid w:val="EFFD085A"/>
    <w:rsid w:val="F0B686CB"/>
    <w:rsid w:val="F13AA63E"/>
    <w:rsid w:val="F37F6210"/>
    <w:rsid w:val="F53E4D1A"/>
    <w:rsid w:val="F5BF0EBB"/>
    <w:rsid w:val="F5EFDD1C"/>
    <w:rsid w:val="F6B96F7E"/>
    <w:rsid w:val="F7B7CF26"/>
    <w:rsid w:val="F7EF114F"/>
    <w:rsid w:val="F7FDBEC0"/>
    <w:rsid w:val="F87FCC97"/>
    <w:rsid w:val="F9EF2FFB"/>
    <w:rsid w:val="FBB775C9"/>
    <w:rsid w:val="FBDD5DE3"/>
    <w:rsid w:val="FC5E8783"/>
    <w:rsid w:val="FD9FDB4D"/>
    <w:rsid w:val="FDDFD85B"/>
    <w:rsid w:val="FDED6B2F"/>
    <w:rsid w:val="FDFFB7F8"/>
    <w:rsid w:val="FE5F69F2"/>
    <w:rsid w:val="FEBF0F03"/>
    <w:rsid w:val="FF49D4C5"/>
    <w:rsid w:val="FF6CB551"/>
    <w:rsid w:val="FF7FC01A"/>
    <w:rsid w:val="FF973206"/>
    <w:rsid w:val="FFDD4A6D"/>
    <w:rsid w:val="FFE9D3FB"/>
    <w:rsid w:val="FFFB664B"/>
    <w:rsid w:val="FFFD2806"/>
    <w:rsid w:val="FFFE9B45"/>
    <w:rsid w:val="FFFF2E3C"/>
    <w:rsid w:val="FFFFB7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华文中宋" w:cs="Arial"/>
      <w:kern w:val="44"/>
      <w:sz w:val="44"/>
      <w:szCs w:val="22"/>
    </w:rPr>
  </w:style>
  <w:style w:type="paragraph" w:styleId="5">
    <w:name w:val="heading 2"/>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21"/>
      <w:szCs w:val="21"/>
      <w:lang w:val="en-US" w:eastAsia="zh-CN" w:bidi="ar"/>
    </w:rPr>
  </w:style>
  <w:style w:type="character" w:default="1" w:styleId="10">
    <w:name w:val="Default Paragraph Font"/>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Title"/>
    <w:basedOn w:val="1"/>
    <w:next w:val="3"/>
    <w:qFormat/>
    <w:uiPriority w:val="10"/>
    <w:pPr>
      <w:spacing w:before="240" w:after="60"/>
      <w:jc w:val="center"/>
      <w:outlineLvl w:val="0"/>
    </w:pPr>
    <w:rPr>
      <w:rFonts w:ascii="Arial" w:hAnsi="Arial"/>
      <w:b/>
    </w:rPr>
  </w:style>
  <w:style w:type="paragraph" w:styleId="3">
    <w:name w:val="Body Text Indent"/>
    <w:next w:val="1"/>
    <w:unhideWhenUsed/>
    <w:qFormat/>
    <w:uiPriority w:val="0"/>
    <w:pPr>
      <w:widowControl w:val="0"/>
      <w:spacing w:after="120"/>
      <w:ind w:left="420" w:leftChars="200"/>
      <w:jc w:val="both"/>
    </w:pPr>
    <w:rPr>
      <w:rFonts w:ascii="Times New Roman" w:hAnsi="Times New Roman" w:eastAsia="宋体" w:cs="Times New Roman"/>
      <w:kern w:val="2"/>
      <w:sz w:val="32"/>
      <w:szCs w:val="24"/>
      <w:lang w:val="en-US" w:eastAsia="zh-CN" w:bidi="ar-SA"/>
    </w:rPr>
  </w:style>
  <w:style w:type="paragraph" w:styleId="6">
    <w:name w:val="Balloon Text"/>
    <w:basedOn w:val="1"/>
    <w:link w:val="13"/>
    <w:qFormat/>
    <w:uiPriority w:val="0"/>
    <w:rPr>
      <w:rFonts w:cs="Times New Roman"/>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FollowedHyperlink"/>
    <w:qFormat/>
    <w:uiPriority w:val="0"/>
    <w:rPr>
      <w:color w:val="000000"/>
      <w:u w:val="none"/>
    </w:rPr>
  </w:style>
  <w:style w:type="character" w:styleId="12">
    <w:name w:val="Hyperlink"/>
    <w:qFormat/>
    <w:uiPriority w:val="0"/>
    <w:rPr>
      <w:color w:val="000000"/>
      <w:u w:val="none"/>
    </w:rPr>
  </w:style>
  <w:style w:type="character" w:customStyle="1" w:styleId="13">
    <w:name w:val="批注框文本 字符"/>
    <w:link w:val="6"/>
    <w:qFormat/>
    <w:uiPriority w:val="0"/>
    <w:rPr>
      <w:rFonts w:ascii="Calibri" w:hAnsi="Calibri" w:cs="黑体"/>
      <w:kern w:val="2"/>
      <w:sz w:val="18"/>
      <w:szCs w:val="18"/>
    </w:rPr>
  </w:style>
  <w:style w:type="character" w:customStyle="1" w:styleId="14">
    <w:name w:val="font41"/>
    <w:qFormat/>
    <w:uiPriority w:val="0"/>
    <w:rPr>
      <w:rFonts w:hint="eastAsia" w:ascii="仿宋_GB2312" w:eastAsia="仿宋_GB2312" w:cs="仿宋_GB2312"/>
      <w:color w:val="000000"/>
      <w:sz w:val="28"/>
      <w:szCs w:val="28"/>
      <w:u w:val="none"/>
    </w:rPr>
  </w:style>
  <w:style w:type="character" w:customStyle="1" w:styleId="15">
    <w:name w:val="font21"/>
    <w:qFormat/>
    <w:uiPriority w:val="0"/>
    <w:rPr>
      <w:rFonts w:hint="eastAsia" w:ascii="仿宋_GB2312" w:eastAsia="仿宋_GB2312" w:cs="仿宋_GB2312"/>
      <w:color w:val="000000"/>
      <w:sz w:val="26"/>
      <w:szCs w:val="26"/>
      <w:u w:val="none"/>
      <w:vertAlign w:val="superscript"/>
    </w:rPr>
  </w:style>
  <w:style w:type="character" w:customStyle="1" w:styleId="16">
    <w:name w:val="font71"/>
    <w:qFormat/>
    <w:uiPriority w:val="0"/>
    <w:rPr>
      <w:rFonts w:hint="eastAsia" w:ascii="仿宋_GB2312" w:eastAsia="仿宋_GB2312" w:cs="仿宋_GB2312"/>
      <w:color w:val="000000"/>
      <w:sz w:val="28"/>
      <w:szCs w:val="28"/>
      <w:u w:val="none"/>
      <w:vertAlign w:val="superscript"/>
    </w:rPr>
  </w:style>
  <w:style w:type="paragraph" w:customStyle="1" w:styleId="17">
    <w:name w:val="Normal (Web)"/>
    <w:basedOn w:val="1"/>
    <w:qFormat/>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1897</Words>
  <Characters>10818</Characters>
  <Lines>90</Lines>
  <Paragraphs>25</Paragraphs>
  <TotalTime>16</TotalTime>
  <ScaleCrop>false</ScaleCrop>
  <LinksUpToDate>false</LinksUpToDate>
  <CharactersWithSpaces>12690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2020-09-25T11:02:00Z</dcterms:created>
  <dc:creator>装机时修改</dc:creator>
  <cp:lastModifiedBy>Administrator</cp:lastModifiedBy>
  <cp:lastPrinted>2021-07-06T11:06:55Z</cp:lastPrinted>
  <dcterms:modified xsi:type="dcterms:W3CDTF">2021-10-15T02:11:32Z</dcterms:modified>
  <dc:title>liuxin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3015FAABDF3C465AA0DD4512353F5CB8</vt:lpwstr>
  </property>
</Properties>
</file>