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1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432"/>
        <w:gridCol w:w="5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科室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招聘岗位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b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 w:val="0"/>
                <w:sz w:val="28"/>
                <w:szCs w:val="28"/>
              </w:rPr>
              <w:t>招聘要求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烧伤科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康复治疗师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康复专业，硕士研究生及以上学历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皮肤科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临床检验专业，硕士研究生及以上学历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眼科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眼科专业，本科及以上学历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病理科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病理与病理生理学、免疫学、临床检验诊断学专业，本科及以上学历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放射科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医学影像技术，本科及以上学历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检验科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临床检验诊断学专业，博士研究生或硕士研究生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中医科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技师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康复医学或针灸推拿学专业，硕士研究生及以上学历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2022-10-25T08:51:52Z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382B2341E1B045A8874B4D2E715C3AB8</vt:lpwstr>
  </property>
</Properties>
</file>